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3D" w:rsidRPr="0012222D" w:rsidRDefault="00673AA0" w:rsidP="0012222D">
      <w:pPr>
        <w:jc w:val="center"/>
        <w:rPr>
          <w:b/>
        </w:rPr>
      </w:pPr>
      <w:r>
        <w:rPr>
          <w:b/>
        </w:rPr>
        <w:t xml:space="preserve">Interpretation of </w:t>
      </w:r>
      <w:r w:rsidR="003E6BB5" w:rsidRPr="0012222D">
        <w:rPr>
          <w:b/>
        </w:rPr>
        <w:t xml:space="preserve">Risk and Protective Factors </w:t>
      </w:r>
      <w:r w:rsidR="0068273D" w:rsidRPr="0012222D">
        <w:rPr>
          <w:b/>
        </w:rPr>
        <w:t>for Orleans Parish</w:t>
      </w:r>
    </w:p>
    <w:p w:rsidR="0068273D" w:rsidRPr="0012222D" w:rsidRDefault="00673AA0" w:rsidP="0012222D">
      <w:pPr>
        <w:jc w:val="center"/>
        <w:rPr>
          <w:b/>
        </w:rPr>
      </w:pPr>
      <w:r>
        <w:rPr>
          <w:b/>
        </w:rPr>
        <w:t>Using</w:t>
      </w:r>
      <w:r w:rsidR="0068273D" w:rsidRPr="0012222D">
        <w:rPr>
          <w:b/>
        </w:rPr>
        <w:t xml:space="preserve"> on the </w:t>
      </w:r>
      <w:r>
        <w:rPr>
          <w:b/>
        </w:rPr>
        <w:t xml:space="preserve">2012 </w:t>
      </w:r>
      <w:r w:rsidR="0068273D" w:rsidRPr="0012222D">
        <w:rPr>
          <w:b/>
        </w:rPr>
        <w:t>Caring Communities Youth Survey</w:t>
      </w:r>
    </w:p>
    <w:p w:rsidR="003E6BB5" w:rsidRDefault="003E6BB5" w:rsidP="003E6BB5"/>
    <w:p w:rsidR="003E6BB5" w:rsidRDefault="003E6BB5" w:rsidP="003E6BB5">
      <w:r w:rsidRPr="003E6BB5">
        <w:t xml:space="preserve">The </w:t>
      </w:r>
      <w:r w:rsidR="00673AA0">
        <w:t xml:space="preserve">2012 </w:t>
      </w:r>
      <w:r w:rsidRPr="003E6BB5">
        <w:t xml:space="preserve">CCYS profile reports provide 20 scales measuring risk factors and 7 scales measuring protective factors to support strategic development of prevention programming addressing 4 domains: Community, Family, School and Peer-Individual. </w:t>
      </w:r>
      <w:r w:rsidR="0012222D">
        <w:t>These are presented in Tables 8 and 9 of the standard Parish Profile Report (which is attached).</w:t>
      </w:r>
    </w:p>
    <w:p w:rsidR="003E6BB5" w:rsidRDefault="003E6BB5" w:rsidP="003E6BB5"/>
    <w:p w:rsidR="003E6BB5" w:rsidRDefault="003E6BB5" w:rsidP="003E6BB5">
      <w:r w:rsidRPr="003E6BB5">
        <w:t xml:space="preserve">Although the </w:t>
      </w:r>
      <w:r w:rsidRPr="00EF4780">
        <w:rPr>
          <w:b/>
        </w:rPr>
        <w:t>CCYS sample for Orleans Parish is limited</w:t>
      </w:r>
      <w:r w:rsidR="00DC545A">
        <w:rPr>
          <w:b/>
        </w:rPr>
        <w:t xml:space="preserve"> due to very poor school participation</w:t>
      </w:r>
      <w:r w:rsidRPr="003E6BB5">
        <w:t xml:space="preserve">, the 2012 Parish Profile </w:t>
      </w:r>
      <w:r w:rsidRPr="003E6BB5">
        <w:rPr>
          <w:i/>
        </w:rPr>
        <w:t>suggest</w:t>
      </w:r>
      <w:r w:rsidRPr="003E6BB5">
        <w:t>s that, across grade levels</w:t>
      </w:r>
      <w:r>
        <w:t>,</w:t>
      </w:r>
      <w:r w:rsidRPr="003E6BB5">
        <w:t xml:space="preserve"> in comparison to a national normative sample, </w:t>
      </w:r>
      <w:r w:rsidR="0068273D">
        <w:t xml:space="preserve">the following </w:t>
      </w:r>
      <w:r w:rsidR="0068273D" w:rsidRPr="0068273D">
        <w:t>standout as risk factors</w:t>
      </w:r>
      <w:r w:rsidR="0068273D">
        <w:t>:</w:t>
      </w:r>
    </w:p>
    <w:p w:rsidR="003E6BB5" w:rsidRDefault="003E6BB5" w:rsidP="003E6BB5"/>
    <w:p w:rsidR="003E6BB5" w:rsidRDefault="003E6BB5" w:rsidP="003E6BB5">
      <w:pPr>
        <w:pStyle w:val="ListParagraph"/>
        <w:numPr>
          <w:ilvl w:val="0"/>
          <w:numId w:val="3"/>
        </w:numPr>
      </w:pPr>
      <w:r w:rsidRPr="003E6BB5">
        <w:t xml:space="preserve">early initiation of anti-social behavior, </w:t>
      </w:r>
    </w:p>
    <w:p w:rsidR="003E6BB5" w:rsidRDefault="003E6BB5" w:rsidP="003E6BB5">
      <w:pPr>
        <w:pStyle w:val="ListParagraph"/>
        <w:numPr>
          <w:ilvl w:val="0"/>
          <w:numId w:val="3"/>
        </w:numPr>
      </w:pPr>
      <w:r w:rsidRPr="003E6BB5">
        <w:t xml:space="preserve">[lack of] perceived risk in drug use, and </w:t>
      </w:r>
    </w:p>
    <w:p w:rsidR="003E6BB5" w:rsidRDefault="003E6BB5" w:rsidP="003E6BB5">
      <w:pPr>
        <w:pStyle w:val="ListParagraph"/>
        <w:numPr>
          <w:ilvl w:val="0"/>
          <w:numId w:val="3"/>
        </w:numPr>
      </w:pPr>
      <w:proofErr w:type="gramStart"/>
      <w:r w:rsidRPr="003E6BB5">
        <w:t>interaction</w:t>
      </w:r>
      <w:proofErr w:type="gramEnd"/>
      <w:r w:rsidRPr="003E6BB5">
        <w:t xml:space="preserve"> with antisocial peers. </w:t>
      </w:r>
    </w:p>
    <w:p w:rsidR="003E6BB5" w:rsidRDefault="003E6BB5" w:rsidP="003E6BB5"/>
    <w:p w:rsidR="003E6BB5" w:rsidRDefault="003E6BB5" w:rsidP="003E6BB5">
      <w:r w:rsidRPr="003E6BB5">
        <w:t xml:space="preserve">In addition, </w:t>
      </w:r>
      <w:r w:rsidRPr="003E6BB5">
        <w:rPr>
          <w:i/>
        </w:rPr>
        <w:t>among high school students</w:t>
      </w:r>
      <w:r w:rsidRPr="003E6BB5">
        <w:t xml:space="preserve">, risk is elevated due to </w:t>
      </w:r>
    </w:p>
    <w:p w:rsidR="003E6BB5" w:rsidRDefault="003E6BB5" w:rsidP="003E6BB5"/>
    <w:p w:rsidR="003E6BB5" w:rsidRDefault="003E6BB5" w:rsidP="003E6BB5">
      <w:pPr>
        <w:pStyle w:val="ListParagraph"/>
        <w:numPr>
          <w:ilvl w:val="0"/>
          <w:numId w:val="4"/>
        </w:numPr>
      </w:pPr>
      <w:r w:rsidRPr="003E6BB5">
        <w:t xml:space="preserve">laws and norms favoring drug use and </w:t>
      </w:r>
    </w:p>
    <w:p w:rsidR="003E6BB5" w:rsidRDefault="003E6BB5" w:rsidP="003E6BB5">
      <w:pPr>
        <w:pStyle w:val="ListParagraph"/>
        <w:numPr>
          <w:ilvl w:val="0"/>
          <w:numId w:val="4"/>
        </w:numPr>
      </w:pPr>
      <w:proofErr w:type="gramStart"/>
      <w:r w:rsidRPr="003E6BB5">
        <w:t>gang</w:t>
      </w:r>
      <w:proofErr w:type="gramEnd"/>
      <w:r w:rsidRPr="003E6BB5">
        <w:t xml:space="preserve"> involvement. </w:t>
      </w:r>
    </w:p>
    <w:p w:rsidR="003E6BB5" w:rsidRDefault="003E6BB5" w:rsidP="003E6BB5"/>
    <w:p w:rsidR="003E6BB5" w:rsidRDefault="003E6BB5" w:rsidP="003E6BB5">
      <w:r w:rsidRPr="003E6BB5">
        <w:rPr>
          <w:i/>
        </w:rPr>
        <w:t>Among middle school students</w:t>
      </w:r>
      <w:r w:rsidRPr="003E6BB5">
        <w:t xml:space="preserve">, protection is elevated on the following factors: </w:t>
      </w:r>
    </w:p>
    <w:p w:rsidR="003E6BB5" w:rsidRDefault="003E6BB5" w:rsidP="003E6BB5"/>
    <w:p w:rsidR="003E6BB5" w:rsidRDefault="003E6BB5" w:rsidP="003E6BB5">
      <w:pPr>
        <w:pStyle w:val="ListParagraph"/>
        <w:numPr>
          <w:ilvl w:val="0"/>
          <w:numId w:val="5"/>
        </w:numPr>
      </w:pPr>
      <w:r w:rsidRPr="003E6BB5">
        <w:t xml:space="preserve">opportunities and rewards for pro-social involvement in school, </w:t>
      </w:r>
    </w:p>
    <w:p w:rsidR="003E6BB5" w:rsidRDefault="003E6BB5" w:rsidP="003E6BB5">
      <w:pPr>
        <w:pStyle w:val="ListParagraph"/>
        <w:numPr>
          <w:ilvl w:val="0"/>
          <w:numId w:val="5"/>
        </w:numPr>
      </w:pPr>
      <w:r w:rsidRPr="003E6BB5">
        <w:t xml:space="preserve">interaction with pro-social peers, </w:t>
      </w:r>
    </w:p>
    <w:p w:rsidR="003E6BB5" w:rsidRDefault="003E6BB5" w:rsidP="003E6BB5">
      <w:pPr>
        <w:pStyle w:val="ListParagraph"/>
        <w:numPr>
          <w:ilvl w:val="0"/>
          <w:numId w:val="5"/>
        </w:numPr>
      </w:pPr>
      <w:proofErr w:type="gramStart"/>
      <w:r w:rsidRPr="003E6BB5">
        <w:t>pro-social</w:t>
      </w:r>
      <w:proofErr w:type="gramEnd"/>
      <w:r w:rsidRPr="003E6BB5">
        <w:t xml:space="preserve"> involvement and rewards for pro-social involvement outside of the school environment. </w:t>
      </w:r>
    </w:p>
    <w:p w:rsidR="003E6BB5" w:rsidRDefault="003E6BB5" w:rsidP="003E6BB5"/>
    <w:p w:rsidR="0068273D" w:rsidRDefault="003E6BB5" w:rsidP="003E6BB5">
      <w:r w:rsidRPr="0068273D">
        <w:rPr>
          <w:i/>
        </w:rPr>
        <w:t>Among high school students</w:t>
      </w:r>
      <w:r w:rsidRPr="003E6BB5">
        <w:t xml:space="preserve">, protective factors are elevated on </w:t>
      </w:r>
    </w:p>
    <w:p w:rsidR="0068273D" w:rsidRDefault="0068273D" w:rsidP="003E6BB5"/>
    <w:p w:rsidR="0068273D" w:rsidRDefault="003E6BB5" w:rsidP="0068273D">
      <w:pPr>
        <w:pStyle w:val="ListParagraph"/>
        <w:numPr>
          <w:ilvl w:val="0"/>
          <w:numId w:val="6"/>
        </w:numPr>
      </w:pPr>
      <w:proofErr w:type="gramStart"/>
      <w:r w:rsidRPr="003E6BB5">
        <w:t>rewards</w:t>
      </w:r>
      <w:proofErr w:type="gramEnd"/>
      <w:r w:rsidRPr="003E6BB5">
        <w:t xml:space="preserve"> for pro-social involvement in school </w:t>
      </w:r>
      <w:r w:rsidRPr="0068273D">
        <w:rPr>
          <w:u w:val="single"/>
        </w:rPr>
        <w:t>and</w:t>
      </w:r>
      <w:r w:rsidRPr="003E6BB5">
        <w:t xml:space="preserve"> outside of school. </w:t>
      </w:r>
    </w:p>
    <w:p w:rsidR="0068273D" w:rsidRDefault="0068273D" w:rsidP="003E6BB5"/>
    <w:p w:rsidR="0068273D" w:rsidRDefault="00DC545A" w:rsidP="003E6BB5">
      <w:r>
        <w:t>These</w:t>
      </w:r>
      <w:r w:rsidR="00E27A01">
        <w:t xml:space="preserve"> risk and protective factors have been identified based on </w:t>
      </w:r>
      <w:r w:rsidR="00E27A01" w:rsidRPr="00E27A01">
        <w:rPr>
          <w:i/>
        </w:rPr>
        <w:t>elevated</w:t>
      </w:r>
      <w:r w:rsidR="00E27A01">
        <w:t xml:space="preserve"> values relative to the national normative sample. It is not clear whether a </w:t>
      </w:r>
      <w:r w:rsidR="00E27A01" w:rsidRPr="00E27A01">
        <w:rPr>
          <w:i/>
        </w:rPr>
        <w:t>depressed</w:t>
      </w:r>
      <w:r w:rsidR="00E27A01">
        <w:t xml:space="preserve"> value on a risk factor could be considered a protective factor, or whether a depressed value on a prote</w:t>
      </w:r>
      <w:r>
        <w:t>ctive factor represents a risk.</w:t>
      </w:r>
    </w:p>
    <w:p w:rsidR="00E27A01" w:rsidRDefault="00E27A01" w:rsidP="003E6BB5"/>
    <w:p w:rsidR="0068273D" w:rsidRPr="003E6BB5" w:rsidRDefault="0068273D" w:rsidP="003E6BB5">
      <w:r>
        <w:t>Another consideration, when examining trend data for New Orleans</w:t>
      </w:r>
      <w:r w:rsidR="0012222D">
        <w:t>, is the populations that are profiled in 2008 and 2010 may be substantially different due to the repopulation of the parish during the recovery from hurricanes Katrina and Rita.</w:t>
      </w:r>
    </w:p>
    <w:p w:rsidR="003E6BB5" w:rsidRDefault="003E6BB5" w:rsidP="00B11FF7"/>
    <w:p w:rsidR="00B11FF7" w:rsidRPr="00E27A01" w:rsidRDefault="00E27A01" w:rsidP="00B11FF7">
      <w:pPr>
        <w:rPr>
          <w:b/>
        </w:rPr>
        <w:sectPr w:rsidR="00B11FF7" w:rsidRPr="00E27A01">
          <w:headerReference w:type="default" r:id="rId8"/>
          <w:footerReference w:type="default" r:id="rId9"/>
          <w:pgSz w:w="12240" w:h="15840" w:code="1"/>
          <w:pgMar w:top="1440" w:right="1440" w:bottom="1440" w:left="1440" w:header="720" w:footer="720" w:gutter="0"/>
          <w:cols w:space="720"/>
        </w:sectPr>
      </w:pPr>
      <w:r w:rsidRPr="00E27A01">
        <w:rPr>
          <w:b/>
        </w:rPr>
        <w:t>While we can have little confidence in the 2012 R&amp;P scales, the Coalition’s efforts to improve CCYS participation means that we will be able to accurately measure factors in order to strategically plan and implement programming at the parish, neighborhood and school levels.</w:t>
      </w:r>
    </w:p>
    <w:tbl>
      <w:tblPr>
        <w:tblW w:w="14500" w:type="dxa"/>
        <w:tblInd w:w="93" w:type="dxa"/>
        <w:tblLook w:val="04A0" w:firstRow="1" w:lastRow="0" w:firstColumn="1" w:lastColumn="0" w:noHBand="0" w:noVBand="1"/>
      </w:tblPr>
      <w:tblGrid>
        <w:gridCol w:w="290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580"/>
      </w:tblGrid>
      <w:tr w:rsidR="00B11FF7" w:rsidRPr="00B11FF7" w:rsidTr="00B11FF7">
        <w:trPr>
          <w:trHeight w:val="240"/>
        </w:trPr>
        <w:tc>
          <w:tcPr>
            <w:tcW w:w="14500"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rPr>
                <w:b/>
                <w:bCs/>
                <w:sz w:val="22"/>
                <w:szCs w:val="22"/>
              </w:rPr>
            </w:pPr>
            <w:r w:rsidRPr="00B11FF7">
              <w:rPr>
                <w:b/>
                <w:bCs/>
                <w:color w:val="FF0000"/>
                <w:sz w:val="22"/>
                <w:szCs w:val="22"/>
              </w:rPr>
              <w:lastRenderedPageBreak/>
              <w:t xml:space="preserve">ORLEANS PARISH </w:t>
            </w:r>
            <w:r>
              <w:rPr>
                <w:b/>
                <w:bCs/>
                <w:sz w:val="22"/>
                <w:szCs w:val="22"/>
              </w:rPr>
              <w:t xml:space="preserve">– </w:t>
            </w:r>
            <w:r w:rsidRPr="00B11FF7">
              <w:rPr>
                <w:b/>
                <w:bCs/>
                <w:sz w:val="22"/>
                <w:szCs w:val="22"/>
              </w:rPr>
              <w:t>Table 8. Percentage of Students Reporting Risk</w:t>
            </w:r>
          </w:p>
        </w:tc>
      </w:tr>
      <w:tr w:rsidR="00B11FF7" w:rsidRPr="00B11FF7" w:rsidTr="00DC545A">
        <w:trPr>
          <w:trHeight w:val="69"/>
        </w:trPr>
        <w:tc>
          <w:tcPr>
            <w:tcW w:w="2900" w:type="dxa"/>
            <w:vMerge w:val="restart"/>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7"/>
                <w:szCs w:val="17"/>
              </w:rPr>
            </w:pPr>
            <w:r w:rsidRPr="00B11FF7">
              <w:rPr>
                <w:b/>
                <w:bCs/>
                <w:sz w:val="17"/>
                <w:szCs w:val="17"/>
              </w:rPr>
              <w:t>Risk Factor</w:t>
            </w:r>
          </w:p>
        </w:tc>
        <w:tc>
          <w:tcPr>
            <w:tcW w:w="2900" w:type="dxa"/>
            <w:gridSpan w:val="5"/>
            <w:tcBorders>
              <w:top w:val="single" w:sz="4" w:space="0" w:color="auto"/>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Grade 6</w:t>
            </w:r>
          </w:p>
        </w:tc>
        <w:tc>
          <w:tcPr>
            <w:tcW w:w="29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Grade 8</w:t>
            </w:r>
          </w:p>
        </w:tc>
        <w:tc>
          <w:tcPr>
            <w:tcW w:w="29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Grade 10</w:t>
            </w:r>
          </w:p>
        </w:tc>
        <w:tc>
          <w:tcPr>
            <w:tcW w:w="29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0" w:firstLine="1405"/>
              <w:jc w:val="right"/>
              <w:rPr>
                <w:b/>
                <w:bCs/>
                <w:sz w:val="14"/>
                <w:szCs w:val="14"/>
              </w:rPr>
            </w:pPr>
            <w:r w:rsidRPr="00B11FF7">
              <w:rPr>
                <w:b/>
                <w:bCs/>
                <w:sz w:val="14"/>
                <w:szCs w:val="14"/>
              </w:rPr>
              <w:t>Grade 12</w:t>
            </w:r>
          </w:p>
        </w:tc>
      </w:tr>
      <w:tr w:rsidR="00B11FF7" w:rsidRPr="00B11FF7" w:rsidTr="00B11FF7">
        <w:trPr>
          <w:trHeight w:val="348"/>
        </w:trPr>
        <w:tc>
          <w:tcPr>
            <w:tcW w:w="2900" w:type="dxa"/>
            <w:vMerge/>
            <w:tcBorders>
              <w:top w:val="nil"/>
              <w:left w:val="single" w:sz="4" w:space="0" w:color="auto"/>
              <w:bottom w:val="single" w:sz="4" w:space="0" w:color="auto"/>
              <w:right w:val="single" w:sz="4" w:space="0" w:color="auto"/>
            </w:tcBorders>
            <w:vAlign w:val="center"/>
            <w:hideMark/>
          </w:tcPr>
          <w:p w:rsidR="00B11FF7" w:rsidRPr="00B11FF7" w:rsidRDefault="00B11FF7" w:rsidP="00B11FF7">
            <w:pPr>
              <w:rPr>
                <w:b/>
                <w:bCs/>
                <w:sz w:val="17"/>
                <w:szCs w:val="17"/>
              </w:rPr>
            </w:pP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2008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2010</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sz w:val="14"/>
                <w:szCs w:val="14"/>
              </w:rPr>
            </w:pPr>
            <w:r w:rsidRPr="00B11FF7">
              <w:rPr>
                <w:sz w:val="14"/>
                <w:szCs w:val="14"/>
              </w:rPr>
              <w:t>State</w:t>
            </w:r>
            <w:r w:rsidRPr="00B11FF7">
              <w:rPr>
                <w:sz w:val="14"/>
                <w:szCs w:val="14"/>
              </w:rPr>
              <w:br/>
              <w:t>2012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center"/>
              <w:rPr>
                <w:sz w:val="14"/>
                <w:szCs w:val="14"/>
              </w:rPr>
            </w:pPr>
            <w:r w:rsidRPr="00B11FF7">
              <w:rPr>
                <w:sz w:val="14"/>
                <w:szCs w:val="14"/>
              </w:rPr>
              <w:t>BH</w:t>
            </w:r>
            <w:r w:rsidRPr="00B11FF7">
              <w:rPr>
                <w:sz w:val="14"/>
                <w:szCs w:val="14"/>
              </w:rPr>
              <w:br/>
              <w:t>Norm</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2008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2010</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sz w:val="14"/>
                <w:szCs w:val="14"/>
              </w:rPr>
            </w:pPr>
            <w:r w:rsidRPr="00B11FF7">
              <w:rPr>
                <w:sz w:val="14"/>
                <w:szCs w:val="14"/>
              </w:rPr>
              <w:t>State</w:t>
            </w:r>
            <w:r w:rsidRPr="00B11FF7">
              <w:rPr>
                <w:sz w:val="14"/>
                <w:szCs w:val="14"/>
              </w:rPr>
              <w:br/>
              <w:t>2012</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center"/>
              <w:rPr>
                <w:sz w:val="14"/>
                <w:szCs w:val="14"/>
              </w:rPr>
            </w:pPr>
            <w:r w:rsidRPr="00B11FF7">
              <w:rPr>
                <w:sz w:val="14"/>
                <w:szCs w:val="14"/>
              </w:rPr>
              <w:t>BH</w:t>
            </w:r>
            <w:r w:rsidRPr="00B11FF7">
              <w:rPr>
                <w:sz w:val="14"/>
                <w:szCs w:val="14"/>
              </w:rPr>
              <w:br/>
              <w:t>Norm</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2008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2010</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sz w:val="14"/>
                <w:szCs w:val="14"/>
              </w:rPr>
            </w:pPr>
            <w:r w:rsidRPr="00B11FF7">
              <w:rPr>
                <w:sz w:val="14"/>
                <w:szCs w:val="14"/>
              </w:rPr>
              <w:t>State</w:t>
            </w:r>
            <w:r w:rsidRPr="00B11FF7">
              <w:rPr>
                <w:sz w:val="14"/>
                <w:szCs w:val="14"/>
              </w:rPr>
              <w:br/>
              <w:t>2012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center"/>
              <w:rPr>
                <w:sz w:val="14"/>
                <w:szCs w:val="14"/>
              </w:rPr>
            </w:pPr>
            <w:r w:rsidRPr="00B11FF7">
              <w:rPr>
                <w:sz w:val="14"/>
                <w:szCs w:val="14"/>
              </w:rPr>
              <w:t>BH</w:t>
            </w:r>
            <w:r w:rsidRPr="00B11FF7">
              <w:rPr>
                <w:sz w:val="14"/>
                <w:szCs w:val="14"/>
              </w:rPr>
              <w:br/>
              <w:t>Norm</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2008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2010</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center"/>
              <w:rPr>
                <w:sz w:val="14"/>
                <w:szCs w:val="14"/>
              </w:rPr>
            </w:pPr>
            <w:r w:rsidRPr="00B11FF7">
              <w:rPr>
                <w:sz w:val="14"/>
                <w:szCs w:val="14"/>
              </w:rPr>
              <w:t>Parish</w:t>
            </w:r>
            <w:r w:rsidRPr="00B11FF7">
              <w:rPr>
                <w:sz w:val="14"/>
                <w:szCs w:val="14"/>
              </w:rPr>
              <w:br/>
              <w:t>2012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sz w:val="14"/>
                <w:szCs w:val="14"/>
              </w:rPr>
            </w:pPr>
            <w:r w:rsidRPr="00B11FF7">
              <w:rPr>
                <w:sz w:val="14"/>
                <w:szCs w:val="14"/>
              </w:rPr>
              <w:t>State</w:t>
            </w:r>
            <w:r w:rsidRPr="00B11FF7">
              <w:rPr>
                <w:sz w:val="14"/>
                <w:szCs w:val="14"/>
              </w:rPr>
              <w:br/>
              <w:t>2012</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center"/>
              <w:rPr>
                <w:sz w:val="14"/>
                <w:szCs w:val="14"/>
              </w:rPr>
            </w:pPr>
            <w:r w:rsidRPr="00B11FF7">
              <w:rPr>
                <w:sz w:val="14"/>
                <w:szCs w:val="14"/>
              </w:rPr>
              <w:t>BH</w:t>
            </w:r>
            <w:r w:rsidRPr="00B11FF7">
              <w:rPr>
                <w:sz w:val="14"/>
                <w:szCs w:val="14"/>
              </w:rPr>
              <w:br/>
              <w:t>Norm</w:t>
            </w:r>
          </w:p>
        </w:tc>
      </w:tr>
      <w:tr w:rsidR="00B11FF7" w:rsidRPr="00B11FF7" w:rsidTr="00DC545A">
        <w:trPr>
          <w:trHeight w:val="69"/>
        </w:trPr>
        <w:tc>
          <w:tcPr>
            <w:tcW w:w="14500" w:type="dxa"/>
            <w:gridSpan w:val="21"/>
            <w:tcBorders>
              <w:top w:val="single" w:sz="4" w:space="0" w:color="auto"/>
              <w:left w:val="single" w:sz="4" w:space="0" w:color="auto"/>
              <w:bottom w:val="single" w:sz="4" w:space="0" w:color="auto"/>
              <w:right w:val="single" w:sz="4" w:space="0" w:color="auto"/>
            </w:tcBorders>
            <w:shd w:val="clear" w:color="000000" w:fill="FCD5B4"/>
            <w:vAlign w:val="center"/>
            <w:hideMark/>
          </w:tcPr>
          <w:p w:rsidR="00B11FF7" w:rsidRPr="00B11FF7" w:rsidRDefault="00B11FF7" w:rsidP="00B11FF7">
            <w:pPr>
              <w:rPr>
                <w:b/>
                <w:bCs/>
                <w:sz w:val="17"/>
                <w:szCs w:val="17"/>
              </w:rPr>
            </w:pPr>
            <w:r w:rsidRPr="00B11FF7">
              <w:rPr>
                <w:b/>
                <w:bCs/>
                <w:sz w:val="17"/>
                <w:szCs w:val="17"/>
              </w:rPr>
              <w:t>Community Domain</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Laws &amp; Norms Favor Drug Use</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40.6</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39.8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41.1</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44.0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39.7</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45.1</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52.3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48.0</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47.4</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Perceived Availability of Drugs</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40.3</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35.5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22.8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40.5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21.9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26.9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33.3</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42.7</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Perceived Availability of Handguns</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17.9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9.6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19.8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28.0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25.4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24.3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39.3</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39.8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19.1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26.6</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29.9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18.7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28.6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29.2</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34.8</w:t>
            </w:r>
          </w:p>
        </w:tc>
      </w:tr>
      <w:tr w:rsidR="00B11FF7" w:rsidRPr="00B11FF7" w:rsidTr="00DC545A">
        <w:trPr>
          <w:trHeight w:val="69"/>
        </w:trPr>
        <w:tc>
          <w:tcPr>
            <w:tcW w:w="14500" w:type="dxa"/>
            <w:gridSpan w:val="21"/>
            <w:tcBorders>
              <w:top w:val="single" w:sz="4" w:space="0" w:color="auto"/>
              <w:left w:val="single" w:sz="4" w:space="0" w:color="auto"/>
              <w:bottom w:val="single" w:sz="4" w:space="0" w:color="auto"/>
              <w:right w:val="single" w:sz="4" w:space="0" w:color="auto"/>
            </w:tcBorders>
            <w:shd w:val="clear" w:color="000000" w:fill="FCD5B4"/>
            <w:vAlign w:val="center"/>
            <w:hideMark/>
          </w:tcPr>
          <w:p w:rsidR="00B11FF7" w:rsidRPr="00B11FF7" w:rsidRDefault="00B11FF7" w:rsidP="00B11FF7">
            <w:pPr>
              <w:rPr>
                <w:b/>
                <w:bCs/>
                <w:sz w:val="17"/>
                <w:szCs w:val="17"/>
              </w:rPr>
            </w:pPr>
            <w:r w:rsidRPr="00B11FF7">
              <w:rPr>
                <w:b/>
                <w:bCs/>
                <w:sz w:val="17"/>
                <w:szCs w:val="17"/>
              </w:rPr>
              <w:t>Family Domain</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Poor Family Management</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50.3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51.9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49.8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42.7</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40.3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35.8</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45.4</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Family Conflict</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47.3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40.4</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43.2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35.1</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36.8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41.6</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37.8</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38.8</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Family History of Antisocial Behavior</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33.8</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41.8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39.7</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36.4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37.3</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51.5</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46.5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42.5</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43.9</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Parent Attitudes Favorable to ASB</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36.3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46.9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40.4</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50.3</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Parent Attitudes Favor Drug Use</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11.0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11.6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8.4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12.2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15.8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26.2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23.0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24.2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26.0</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40.8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23.0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38.0</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38.6</w:t>
            </w:r>
          </w:p>
        </w:tc>
      </w:tr>
      <w:tr w:rsidR="00B11FF7" w:rsidRPr="00B11FF7" w:rsidTr="00DC545A">
        <w:trPr>
          <w:trHeight w:val="69"/>
        </w:trPr>
        <w:tc>
          <w:tcPr>
            <w:tcW w:w="14500" w:type="dxa"/>
            <w:gridSpan w:val="21"/>
            <w:tcBorders>
              <w:top w:val="single" w:sz="4" w:space="0" w:color="auto"/>
              <w:left w:val="single" w:sz="4" w:space="0" w:color="auto"/>
              <w:bottom w:val="single" w:sz="4" w:space="0" w:color="auto"/>
              <w:right w:val="single" w:sz="4" w:space="0" w:color="auto"/>
            </w:tcBorders>
            <w:shd w:val="clear" w:color="000000" w:fill="FCD5B4"/>
            <w:vAlign w:val="center"/>
            <w:hideMark/>
          </w:tcPr>
          <w:p w:rsidR="00B11FF7" w:rsidRPr="00B11FF7" w:rsidRDefault="00B11FF7" w:rsidP="00B11FF7">
            <w:pPr>
              <w:rPr>
                <w:b/>
                <w:bCs/>
                <w:sz w:val="17"/>
                <w:szCs w:val="17"/>
              </w:rPr>
            </w:pPr>
            <w:r w:rsidRPr="00B11FF7">
              <w:rPr>
                <w:b/>
                <w:bCs/>
                <w:sz w:val="17"/>
                <w:szCs w:val="17"/>
              </w:rPr>
              <w:t>School Domain</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Academic Failure</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42.1</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48.4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40.6</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41.8</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Low Commitment to School</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48.5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44.8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42.7</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42.9</w:t>
            </w:r>
          </w:p>
        </w:tc>
      </w:tr>
      <w:tr w:rsidR="00B11FF7" w:rsidRPr="00B11FF7" w:rsidTr="00DC545A">
        <w:trPr>
          <w:trHeight w:val="69"/>
        </w:trPr>
        <w:tc>
          <w:tcPr>
            <w:tcW w:w="14500" w:type="dxa"/>
            <w:gridSpan w:val="21"/>
            <w:tcBorders>
              <w:top w:val="single" w:sz="4" w:space="0" w:color="auto"/>
              <w:left w:val="single" w:sz="4" w:space="0" w:color="auto"/>
              <w:bottom w:val="single" w:sz="4" w:space="0" w:color="auto"/>
              <w:right w:val="single" w:sz="4" w:space="0" w:color="auto"/>
            </w:tcBorders>
            <w:shd w:val="clear" w:color="000000" w:fill="FCD5B4"/>
            <w:vAlign w:val="center"/>
            <w:hideMark/>
          </w:tcPr>
          <w:p w:rsidR="00B11FF7" w:rsidRPr="00B11FF7" w:rsidRDefault="00B11FF7" w:rsidP="00B11FF7">
            <w:pPr>
              <w:rPr>
                <w:b/>
                <w:bCs/>
                <w:sz w:val="17"/>
                <w:szCs w:val="17"/>
              </w:rPr>
            </w:pPr>
            <w:r w:rsidRPr="00B11FF7">
              <w:rPr>
                <w:b/>
                <w:bCs/>
                <w:sz w:val="17"/>
                <w:szCs w:val="17"/>
              </w:rPr>
              <w:t>Peer-Individual Domain</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Early Initiation of ASB</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48.2</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39.7</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38.3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33.4</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28.1</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46.0</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51.2</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54.1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33.7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45.5</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68.2</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60.1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37.0</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37.7</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53.6</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55.7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42.9</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35.4</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Early Initiation of Drug Use</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23.4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31.0</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28.1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34.7</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34.4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28.9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35.9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37.3</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41.4</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Attitudes Favorable to ASB</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43.5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26.0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36.2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44.6</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30.4</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41.9</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Attitudes Favorable to Drug Use</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20.9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18.2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19.5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19.8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23.1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28.0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26.3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32.1</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38.5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43.1</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43.5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41.5</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43.1</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Perceived Risk of Drug Use</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63.4</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55.3</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58.3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52.2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49.1</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45.4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40.5</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45.4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46.4</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37.1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40.7</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54.5</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64.2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56.9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47.8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32.5</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47.6</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59.8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50.3</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40.3</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Interaction with Antisocial Peers</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58.6</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54.3</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52.3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49.2</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45.7</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36.4</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41.0</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43.1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39.3</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34.5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34.5</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50.5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40.0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36.7</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36.8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28.0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32.1</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33.9</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Friend's Use of Drugs</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18.4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17.0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20.4</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27.4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35.6</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38.7</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24.4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36.3</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23.5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15.4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26.7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32.2</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38.1</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Rewards for ASB</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22.2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19.5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22.3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30.5</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21.5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18.9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31.3</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32.6</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36.9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35.1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42.5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42.7</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25.6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37.9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45.4</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45.8</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Depressive Symptoms</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22.6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23.1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37.6</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30.7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32.9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40.4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34.8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41.6</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33.7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31.5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29.2</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37.7</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Gang Involvement</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11.3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10.0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7.8</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12.7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8.8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10.0</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8.9</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10.0</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10.2</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9.7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7.6</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7.4</w:t>
            </w:r>
          </w:p>
        </w:tc>
        <w:tc>
          <w:tcPr>
            <w:tcW w:w="58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2.7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8.5</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10.0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6.7</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5.5</w:t>
            </w:r>
          </w:p>
        </w:tc>
      </w:tr>
      <w:tr w:rsidR="00B11FF7" w:rsidRPr="00B11FF7" w:rsidTr="00B11FF7">
        <w:trPr>
          <w:trHeight w:val="84"/>
        </w:trPr>
        <w:tc>
          <w:tcPr>
            <w:tcW w:w="290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b/>
                <w:bCs/>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c>
          <w:tcPr>
            <w:tcW w:w="580" w:type="dxa"/>
            <w:tcBorders>
              <w:top w:val="nil"/>
              <w:left w:val="nil"/>
              <w:bottom w:val="nil"/>
              <w:right w:val="nil"/>
            </w:tcBorders>
            <w:shd w:val="clear" w:color="auto" w:fill="auto"/>
            <w:noWrap/>
            <w:vAlign w:val="bottom"/>
            <w:hideMark/>
          </w:tcPr>
          <w:p w:rsidR="00B11FF7" w:rsidRPr="00B11FF7" w:rsidRDefault="00B11FF7" w:rsidP="00B11FF7">
            <w:pPr>
              <w:rPr>
                <w:color w:val="000000"/>
                <w:sz w:val="22"/>
                <w:szCs w:val="22"/>
              </w:rPr>
            </w:pPr>
          </w:p>
        </w:tc>
      </w:tr>
      <w:tr w:rsidR="00B11FF7" w:rsidRPr="00B11FF7" w:rsidTr="00B11FF7">
        <w:trPr>
          <w:trHeight w:val="240"/>
        </w:trPr>
        <w:tc>
          <w:tcPr>
            <w:tcW w:w="14500" w:type="dxa"/>
            <w:gridSpan w:val="21"/>
            <w:tcBorders>
              <w:top w:val="single" w:sz="4" w:space="0" w:color="auto"/>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rPr>
                <w:b/>
                <w:bCs/>
                <w:sz w:val="22"/>
                <w:szCs w:val="22"/>
              </w:rPr>
            </w:pPr>
            <w:r w:rsidRPr="00B11FF7">
              <w:rPr>
                <w:b/>
                <w:bCs/>
                <w:color w:val="FF0000"/>
                <w:sz w:val="22"/>
                <w:szCs w:val="22"/>
              </w:rPr>
              <w:t xml:space="preserve">ORLEANS PARISH </w:t>
            </w:r>
            <w:r>
              <w:rPr>
                <w:b/>
                <w:bCs/>
                <w:sz w:val="22"/>
                <w:szCs w:val="22"/>
              </w:rPr>
              <w:t xml:space="preserve">– </w:t>
            </w:r>
            <w:r w:rsidRPr="00B11FF7">
              <w:rPr>
                <w:b/>
                <w:bCs/>
                <w:sz w:val="22"/>
                <w:szCs w:val="22"/>
              </w:rPr>
              <w:t>Table 9. Percentage of Students Reporting Protection</w:t>
            </w:r>
          </w:p>
        </w:tc>
      </w:tr>
      <w:tr w:rsidR="00B11FF7" w:rsidRPr="00B11FF7" w:rsidTr="00DC545A">
        <w:trPr>
          <w:trHeight w:val="69"/>
        </w:trPr>
        <w:tc>
          <w:tcPr>
            <w:tcW w:w="2900" w:type="dxa"/>
            <w:vMerge w:val="restart"/>
            <w:tcBorders>
              <w:top w:val="nil"/>
              <w:left w:val="single" w:sz="4" w:space="0" w:color="auto"/>
              <w:bottom w:val="single" w:sz="4" w:space="0" w:color="000000"/>
              <w:right w:val="single" w:sz="4" w:space="0" w:color="auto"/>
            </w:tcBorders>
            <w:shd w:val="clear" w:color="auto" w:fill="auto"/>
            <w:vAlign w:val="center"/>
            <w:hideMark/>
          </w:tcPr>
          <w:p w:rsidR="00B11FF7" w:rsidRPr="00B11FF7" w:rsidRDefault="00B11FF7" w:rsidP="00B11FF7">
            <w:pPr>
              <w:jc w:val="center"/>
              <w:rPr>
                <w:b/>
                <w:bCs/>
                <w:sz w:val="17"/>
                <w:szCs w:val="17"/>
              </w:rPr>
            </w:pPr>
            <w:r w:rsidRPr="00B11FF7">
              <w:rPr>
                <w:b/>
                <w:bCs/>
                <w:sz w:val="17"/>
                <w:szCs w:val="17"/>
              </w:rPr>
              <w:t>Protective Factor</w:t>
            </w:r>
          </w:p>
        </w:tc>
        <w:tc>
          <w:tcPr>
            <w:tcW w:w="2900" w:type="dxa"/>
            <w:gridSpan w:val="5"/>
            <w:tcBorders>
              <w:top w:val="single" w:sz="4" w:space="0" w:color="auto"/>
              <w:left w:val="nil"/>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w:t>
            </w:r>
            <w:bookmarkStart w:id="0" w:name="_GoBack"/>
            <w:bookmarkEnd w:id="0"/>
            <w:r w:rsidRPr="00B11FF7">
              <w:rPr>
                <w:b/>
                <w:bCs/>
                <w:sz w:val="14"/>
                <w:szCs w:val="14"/>
              </w:rPr>
              <w:t>rade 6</w:t>
            </w:r>
          </w:p>
        </w:tc>
        <w:tc>
          <w:tcPr>
            <w:tcW w:w="29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Grade 8</w:t>
            </w:r>
          </w:p>
        </w:tc>
        <w:tc>
          <w:tcPr>
            <w:tcW w:w="29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Grade 10</w:t>
            </w:r>
          </w:p>
        </w:tc>
        <w:tc>
          <w:tcPr>
            <w:tcW w:w="2900"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jc w:val="center"/>
              <w:rPr>
                <w:b/>
                <w:bCs/>
                <w:sz w:val="14"/>
                <w:szCs w:val="14"/>
              </w:rPr>
            </w:pPr>
            <w:r w:rsidRPr="00B11FF7">
              <w:rPr>
                <w:b/>
                <w:bCs/>
                <w:sz w:val="14"/>
                <w:szCs w:val="14"/>
              </w:rPr>
              <w:t>Grade 12</w:t>
            </w:r>
          </w:p>
        </w:tc>
      </w:tr>
      <w:tr w:rsidR="00B11FF7" w:rsidRPr="00B11FF7" w:rsidTr="00B11FF7">
        <w:trPr>
          <w:trHeight w:val="348"/>
        </w:trPr>
        <w:tc>
          <w:tcPr>
            <w:tcW w:w="2900" w:type="dxa"/>
            <w:vMerge/>
            <w:tcBorders>
              <w:top w:val="nil"/>
              <w:left w:val="single" w:sz="4" w:space="0" w:color="auto"/>
              <w:bottom w:val="single" w:sz="4" w:space="0" w:color="000000"/>
              <w:right w:val="single" w:sz="4" w:space="0" w:color="auto"/>
            </w:tcBorders>
            <w:vAlign w:val="center"/>
            <w:hideMark/>
          </w:tcPr>
          <w:p w:rsidR="00B11FF7" w:rsidRPr="00B11FF7" w:rsidRDefault="00B11FF7" w:rsidP="00B11FF7">
            <w:pPr>
              <w:rPr>
                <w:b/>
                <w:bCs/>
                <w:sz w:val="17"/>
                <w:szCs w:val="17"/>
              </w:rPr>
            </w:pP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2008</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2010</w:t>
            </w:r>
          </w:p>
        </w:tc>
        <w:tc>
          <w:tcPr>
            <w:tcW w:w="580" w:type="dxa"/>
            <w:tcBorders>
              <w:top w:val="nil"/>
              <w:left w:val="nil"/>
              <w:bottom w:val="single" w:sz="4" w:space="0" w:color="auto"/>
              <w:right w:val="single" w:sz="4" w:space="0" w:color="auto"/>
            </w:tcBorders>
            <w:shd w:val="clear" w:color="000000" w:fill="76933C"/>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2012</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State</w:t>
            </w:r>
            <w:r w:rsidRPr="00DC545A">
              <w:rPr>
                <w:bCs/>
                <w:sz w:val="14"/>
                <w:szCs w:val="14"/>
              </w:rPr>
              <w:br/>
              <w:t>2012</w:t>
            </w:r>
          </w:p>
        </w:tc>
        <w:tc>
          <w:tcPr>
            <w:tcW w:w="580" w:type="dxa"/>
            <w:tcBorders>
              <w:top w:val="nil"/>
              <w:left w:val="nil"/>
              <w:bottom w:val="single" w:sz="4" w:space="0" w:color="auto"/>
              <w:right w:val="nil"/>
            </w:tcBorders>
            <w:shd w:val="clear" w:color="000000" w:fill="FFFF00"/>
            <w:hideMark/>
          </w:tcPr>
          <w:p w:rsidR="00B11FF7" w:rsidRPr="00DC545A" w:rsidRDefault="00B11FF7" w:rsidP="00B11FF7">
            <w:pPr>
              <w:jc w:val="center"/>
              <w:rPr>
                <w:bCs/>
                <w:sz w:val="14"/>
                <w:szCs w:val="14"/>
              </w:rPr>
            </w:pPr>
            <w:r w:rsidRPr="00DC545A">
              <w:rPr>
                <w:bCs/>
                <w:sz w:val="14"/>
                <w:szCs w:val="14"/>
              </w:rPr>
              <w:t>BH</w:t>
            </w:r>
            <w:r w:rsidRPr="00DC545A">
              <w:rPr>
                <w:bCs/>
                <w:sz w:val="14"/>
                <w:szCs w:val="14"/>
              </w:rPr>
              <w:br/>
              <w:t>Norm</w:t>
            </w:r>
          </w:p>
        </w:tc>
        <w:tc>
          <w:tcPr>
            <w:tcW w:w="580" w:type="dxa"/>
            <w:tcBorders>
              <w:top w:val="nil"/>
              <w:left w:val="single" w:sz="8" w:space="0" w:color="auto"/>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2008</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2010</w:t>
            </w:r>
          </w:p>
        </w:tc>
        <w:tc>
          <w:tcPr>
            <w:tcW w:w="580" w:type="dxa"/>
            <w:tcBorders>
              <w:top w:val="nil"/>
              <w:left w:val="nil"/>
              <w:bottom w:val="single" w:sz="4" w:space="0" w:color="auto"/>
              <w:right w:val="single" w:sz="4" w:space="0" w:color="auto"/>
            </w:tcBorders>
            <w:shd w:val="clear" w:color="000000" w:fill="76933C"/>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2012</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State</w:t>
            </w:r>
            <w:r w:rsidRPr="00DC545A">
              <w:rPr>
                <w:bCs/>
                <w:sz w:val="14"/>
                <w:szCs w:val="14"/>
              </w:rPr>
              <w:br/>
              <w:t>2012</w:t>
            </w:r>
          </w:p>
        </w:tc>
        <w:tc>
          <w:tcPr>
            <w:tcW w:w="580" w:type="dxa"/>
            <w:tcBorders>
              <w:top w:val="nil"/>
              <w:left w:val="nil"/>
              <w:bottom w:val="single" w:sz="4" w:space="0" w:color="auto"/>
              <w:right w:val="nil"/>
            </w:tcBorders>
            <w:shd w:val="clear" w:color="000000" w:fill="FFFF00"/>
            <w:hideMark/>
          </w:tcPr>
          <w:p w:rsidR="00B11FF7" w:rsidRPr="00DC545A" w:rsidRDefault="00B11FF7" w:rsidP="00B11FF7">
            <w:pPr>
              <w:jc w:val="center"/>
              <w:rPr>
                <w:bCs/>
                <w:sz w:val="14"/>
                <w:szCs w:val="14"/>
              </w:rPr>
            </w:pPr>
            <w:r w:rsidRPr="00DC545A">
              <w:rPr>
                <w:bCs/>
                <w:sz w:val="14"/>
                <w:szCs w:val="14"/>
              </w:rPr>
              <w:t>BH</w:t>
            </w:r>
            <w:r w:rsidRPr="00DC545A">
              <w:rPr>
                <w:bCs/>
                <w:sz w:val="14"/>
                <w:szCs w:val="14"/>
              </w:rPr>
              <w:br/>
              <w:t>Norm</w:t>
            </w:r>
          </w:p>
        </w:tc>
        <w:tc>
          <w:tcPr>
            <w:tcW w:w="580" w:type="dxa"/>
            <w:tcBorders>
              <w:top w:val="nil"/>
              <w:left w:val="single" w:sz="8" w:space="0" w:color="auto"/>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2008</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2010</w:t>
            </w:r>
          </w:p>
        </w:tc>
        <w:tc>
          <w:tcPr>
            <w:tcW w:w="580" w:type="dxa"/>
            <w:tcBorders>
              <w:top w:val="nil"/>
              <w:left w:val="nil"/>
              <w:bottom w:val="single" w:sz="4" w:space="0" w:color="auto"/>
              <w:right w:val="single" w:sz="4" w:space="0" w:color="auto"/>
            </w:tcBorders>
            <w:shd w:val="clear" w:color="000000" w:fill="76933C"/>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2012</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State</w:t>
            </w:r>
            <w:r w:rsidRPr="00DC545A">
              <w:rPr>
                <w:bCs/>
                <w:sz w:val="14"/>
                <w:szCs w:val="14"/>
              </w:rPr>
              <w:br/>
              <w:t>2012</w:t>
            </w:r>
          </w:p>
        </w:tc>
        <w:tc>
          <w:tcPr>
            <w:tcW w:w="580" w:type="dxa"/>
            <w:tcBorders>
              <w:top w:val="nil"/>
              <w:left w:val="nil"/>
              <w:bottom w:val="single" w:sz="4" w:space="0" w:color="auto"/>
              <w:right w:val="nil"/>
            </w:tcBorders>
            <w:shd w:val="clear" w:color="000000" w:fill="FFFF00"/>
            <w:hideMark/>
          </w:tcPr>
          <w:p w:rsidR="00B11FF7" w:rsidRPr="00DC545A" w:rsidRDefault="00B11FF7" w:rsidP="00B11FF7">
            <w:pPr>
              <w:jc w:val="center"/>
              <w:rPr>
                <w:bCs/>
                <w:sz w:val="14"/>
                <w:szCs w:val="14"/>
              </w:rPr>
            </w:pPr>
            <w:r w:rsidRPr="00DC545A">
              <w:rPr>
                <w:bCs/>
                <w:sz w:val="14"/>
                <w:szCs w:val="14"/>
              </w:rPr>
              <w:t>BH</w:t>
            </w:r>
            <w:r w:rsidRPr="00DC545A">
              <w:rPr>
                <w:bCs/>
                <w:sz w:val="14"/>
                <w:szCs w:val="14"/>
              </w:rPr>
              <w:br/>
              <w:t>Norm</w:t>
            </w:r>
          </w:p>
        </w:tc>
        <w:tc>
          <w:tcPr>
            <w:tcW w:w="580" w:type="dxa"/>
            <w:tcBorders>
              <w:top w:val="nil"/>
              <w:left w:val="single" w:sz="8" w:space="0" w:color="auto"/>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2008</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2010</w:t>
            </w:r>
          </w:p>
        </w:tc>
        <w:tc>
          <w:tcPr>
            <w:tcW w:w="580" w:type="dxa"/>
            <w:tcBorders>
              <w:top w:val="nil"/>
              <w:left w:val="nil"/>
              <w:bottom w:val="single" w:sz="4" w:space="0" w:color="auto"/>
              <w:right w:val="single" w:sz="4" w:space="0" w:color="auto"/>
            </w:tcBorders>
            <w:shd w:val="clear" w:color="000000" w:fill="76933C"/>
            <w:hideMark/>
          </w:tcPr>
          <w:p w:rsidR="00B11FF7" w:rsidRPr="00DC545A" w:rsidRDefault="00B11FF7" w:rsidP="00B11FF7">
            <w:pPr>
              <w:jc w:val="center"/>
              <w:rPr>
                <w:bCs/>
                <w:sz w:val="14"/>
                <w:szCs w:val="14"/>
              </w:rPr>
            </w:pPr>
            <w:r w:rsidRPr="00DC545A">
              <w:rPr>
                <w:bCs/>
                <w:sz w:val="14"/>
                <w:szCs w:val="14"/>
              </w:rPr>
              <w:t>Parish</w:t>
            </w:r>
            <w:r w:rsidRPr="00DC545A">
              <w:rPr>
                <w:bCs/>
                <w:sz w:val="14"/>
                <w:szCs w:val="14"/>
              </w:rPr>
              <w:br/>
              <w:t>2012</w:t>
            </w:r>
          </w:p>
        </w:tc>
        <w:tc>
          <w:tcPr>
            <w:tcW w:w="580" w:type="dxa"/>
            <w:tcBorders>
              <w:top w:val="nil"/>
              <w:left w:val="nil"/>
              <w:bottom w:val="single" w:sz="4" w:space="0" w:color="auto"/>
              <w:right w:val="single" w:sz="4" w:space="0" w:color="auto"/>
            </w:tcBorders>
            <w:shd w:val="clear" w:color="auto" w:fill="auto"/>
            <w:hideMark/>
          </w:tcPr>
          <w:p w:rsidR="00B11FF7" w:rsidRPr="00DC545A" w:rsidRDefault="00B11FF7" w:rsidP="00B11FF7">
            <w:pPr>
              <w:jc w:val="center"/>
              <w:rPr>
                <w:bCs/>
                <w:sz w:val="14"/>
                <w:szCs w:val="14"/>
              </w:rPr>
            </w:pPr>
            <w:r w:rsidRPr="00DC545A">
              <w:rPr>
                <w:bCs/>
                <w:sz w:val="14"/>
                <w:szCs w:val="14"/>
              </w:rPr>
              <w:t>State</w:t>
            </w:r>
            <w:r w:rsidRPr="00DC545A">
              <w:rPr>
                <w:bCs/>
                <w:sz w:val="14"/>
                <w:szCs w:val="14"/>
              </w:rPr>
              <w:br/>
              <w:t>2012</w:t>
            </w:r>
          </w:p>
        </w:tc>
        <w:tc>
          <w:tcPr>
            <w:tcW w:w="580" w:type="dxa"/>
            <w:tcBorders>
              <w:top w:val="nil"/>
              <w:left w:val="nil"/>
              <w:bottom w:val="single" w:sz="4" w:space="0" w:color="auto"/>
              <w:right w:val="single" w:sz="4" w:space="0" w:color="auto"/>
            </w:tcBorders>
            <w:shd w:val="clear" w:color="000000" w:fill="FFFF00"/>
            <w:hideMark/>
          </w:tcPr>
          <w:p w:rsidR="00B11FF7" w:rsidRPr="00DC545A" w:rsidRDefault="00B11FF7" w:rsidP="00B11FF7">
            <w:pPr>
              <w:jc w:val="center"/>
              <w:rPr>
                <w:bCs/>
                <w:sz w:val="14"/>
                <w:szCs w:val="14"/>
              </w:rPr>
            </w:pPr>
            <w:r w:rsidRPr="00DC545A">
              <w:rPr>
                <w:bCs/>
                <w:sz w:val="14"/>
                <w:szCs w:val="14"/>
              </w:rPr>
              <w:t>BH</w:t>
            </w:r>
            <w:r w:rsidRPr="00DC545A">
              <w:rPr>
                <w:bCs/>
                <w:sz w:val="14"/>
                <w:szCs w:val="14"/>
              </w:rPr>
              <w:br/>
              <w:t>Norm</w:t>
            </w:r>
          </w:p>
        </w:tc>
      </w:tr>
      <w:tr w:rsidR="00B11FF7" w:rsidRPr="00B11FF7" w:rsidTr="00DC545A">
        <w:trPr>
          <w:trHeight w:val="161"/>
        </w:trPr>
        <w:tc>
          <w:tcPr>
            <w:tcW w:w="14500" w:type="dxa"/>
            <w:gridSpan w:val="21"/>
            <w:tcBorders>
              <w:top w:val="single" w:sz="4" w:space="0" w:color="auto"/>
              <w:left w:val="single" w:sz="4" w:space="0" w:color="auto"/>
              <w:bottom w:val="single" w:sz="4" w:space="0" w:color="auto"/>
              <w:right w:val="single" w:sz="4" w:space="0" w:color="auto"/>
            </w:tcBorders>
            <w:shd w:val="clear" w:color="000000" w:fill="FCD5B4"/>
            <w:vAlign w:val="center"/>
            <w:hideMark/>
          </w:tcPr>
          <w:p w:rsidR="00B11FF7" w:rsidRPr="00B11FF7" w:rsidRDefault="00B11FF7" w:rsidP="00B11FF7">
            <w:pPr>
              <w:rPr>
                <w:b/>
                <w:bCs/>
                <w:sz w:val="17"/>
                <w:szCs w:val="17"/>
              </w:rPr>
            </w:pPr>
            <w:r w:rsidRPr="00B11FF7">
              <w:rPr>
                <w:b/>
                <w:bCs/>
                <w:sz w:val="17"/>
                <w:szCs w:val="17"/>
              </w:rPr>
              <w:t>School Domain</w:t>
            </w:r>
          </w:p>
        </w:tc>
      </w:tr>
      <w:tr w:rsidR="00B11FF7" w:rsidRPr="00B11FF7" w:rsidTr="00B11FF7">
        <w:trPr>
          <w:trHeight w:val="249"/>
        </w:trPr>
        <w:tc>
          <w:tcPr>
            <w:tcW w:w="290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 xml:space="preserve">Opportunities for </w:t>
            </w:r>
            <w:proofErr w:type="spellStart"/>
            <w:r w:rsidRPr="00B11FF7">
              <w:rPr>
                <w:sz w:val="16"/>
                <w:szCs w:val="16"/>
              </w:rPr>
              <w:t>Prosocial</w:t>
            </w:r>
            <w:proofErr w:type="spellEnd"/>
            <w:r w:rsidRPr="00B11FF7">
              <w:rPr>
                <w:sz w:val="16"/>
                <w:szCs w:val="16"/>
              </w:rPr>
              <w:t xml:space="preserve"> </w:t>
            </w:r>
            <w:proofErr w:type="spellStart"/>
            <w:r w:rsidRPr="00B11FF7">
              <w:rPr>
                <w:sz w:val="16"/>
                <w:szCs w:val="16"/>
              </w:rPr>
              <w:t>Involvem't</w:t>
            </w:r>
            <w:proofErr w:type="spellEnd"/>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61.5</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58.8</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62.1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54.7</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48.5</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75.0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66.4</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72.7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65.7</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62.1</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73.1</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68.5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67.2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64.9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64.1</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84.6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64.6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56.6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64.8</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66.1</w:t>
            </w:r>
          </w:p>
        </w:tc>
      </w:tr>
      <w:tr w:rsidR="00B11FF7" w:rsidRPr="00B11FF7" w:rsidTr="00B11FF7">
        <w:trPr>
          <w:trHeight w:val="249"/>
        </w:trPr>
        <w:tc>
          <w:tcPr>
            <w:tcW w:w="2900" w:type="dxa"/>
            <w:tcBorders>
              <w:top w:val="nil"/>
              <w:left w:val="single" w:sz="8"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 xml:space="preserve">Rewards for </w:t>
            </w:r>
            <w:proofErr w:type="spellStart"/>
            <w:r w:rsidRPr="00B11FF7">
              <w:rPr>
                <w:sz w:val="16"/>
                <w:szCs w:val="16"/>
              </w:rPr>
              <w:t>Prosocial</w:t>
            </w:r>
            <w:proofErr w:type="spellEnd"/>
            <w:r w:rsidRPr="00B11FF7">
              <w:rPr>
                <w:sz w:val="16"/>
                <w:szCs w:val="16"/>
              </w:rPr>
              <w:t xml:space="preserve"> Involvement</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52.6</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65.2</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66.4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54.3</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50.7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65.1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61.8</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65.4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55.0</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57.5</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69.9</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65.4</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68.4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58.9</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66.4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44.9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46.9</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51.6</w:t>
            </w:r>
          </w:p>
        </w:tc>
      </w:tr>
      <w:tr w:rsidR="00B11FF7" w:rsidRPr="00B11FF7" w:rsidTr="00DC545A">
        <w:trPr>
          <w:trHeight w:val="161"/>
        </w:trPr>
        <w:tc>
          <w:tcPr>
            <w:tcW w:w="14500" w:type="dxa"/>
            <w:gridSpan w:val="21"/>
            <w:tcBorders>
              <w:top w:val="single" w:sz="4" w:space="0" w:color="auto"/>
              <w:left w:val="single" w:sz="8" w:space="0" w:color="auto"/>
              <w:bottom w:val="single" w:sz="4" w:space="0" w:color="auto"/>
              <w:right w:val="single" w:sz="4" w:space="0" w:color="auto"/>
            </w:tcBorders>
            <w:shd w:val="clear" w:color="000000" w:fill="FCD5B4"/>
            <w:vAlign w:val="center"/>
            <w:hideMark/>
          </w:tcPr>
          <w:p w:rsidR="00B11FF7" w:rsidRPr="00B11FF7" w:rsidRDefault="00B11FF7" w:rsidP="00B11FF7">
            <w:pPr>
              <w:rPr>
                <w:b/>
                <w:bCs/>
                <w:sz w:val="17"/>
                <w:szCs w:val="17"/>
              </w:rPr>
            </w:pPr>
            <w:r w:rsidRPr="00B11FF7">
              <w:rPr>
                <w:b/>
                <w:bCs/>
                <w:sz w:val="17"/>
                <w:szCs w:val="17"/>
              </w:rPr>
              <w:t>Peer-Individual Domain</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Belief in the Moral Order</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51.2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58.1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57.9</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70.7</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71.4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62.8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67.6</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64.6</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62.2</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57.9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52.9</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66.6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52.7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58.9</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53.8</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Religiosity</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39.6</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47.0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46.9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50.9</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61.7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51.8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53.5</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61.7</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55.0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49.5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60.7</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48.9</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60.9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48.4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43.4</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55.9</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44.3</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 xml:space="preserve">Interaction with </w:t>
            </w:r>
            <w:proofErr w:type="spellStart"/>
            <w:r w:rsidRPr="00B11FF7">
              <w:rPr>
                <w:sz w:val="16"/>
                <w:szCs w:val="16"/>
              </w:rPr>
              <w:t>Prosocial</w:t>
            </w:r>
            <w:proofErr w:type="spellEnd"/>
            <w:r w:rsidRPr="00B11FF7">
              <w:rPr>
                <w:sz w:val="16"/>
                <w:szCs w:val="16"/>
              </w:rPr>
              <w:t xml:space="preserve"> Peers</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59.8</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57.4</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62.5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58.8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51.0</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69.3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61.3</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66.9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63.1</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59.3</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68.3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59.7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60.9</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60.4</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71.8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56.5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52.0</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57.6</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58.5</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proofErr w:type="spellStart"/>
            <w:r w:rsidRPr="00B11FF7">
              <w:rPr>
                <w:sz w:val="16"/>
                <w:szCs w:val="16"/>
              </w:rPr>
              <w:t>Prosocial</w:t>
            </w:r>
            <w:proofErr w:type="spellEnd"/>
            <w:r w:rsidRPr="00B11FF7">
              <w:rPr>
                <w:sz w:val="16"/>
                <w:szCs w:val="16"/>
              </w:rPr>
              <w:t xml:space="preserve"> Involvement</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58.6</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60.2</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69.7</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60.6</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52.2</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66.2</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59.3</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63.9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57.5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50.7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61.3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51.3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54.8</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53.7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72.8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56.1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51.3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52.0</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54.3</w:t>
            </w:r>
          </w:p>
        </w:tc>
      </w:tr>
      <w:tr w:rsidR="00B11FF7" w:rsidRPr="00B11FF7" w:rsidTr="00B11FF7">
        <w:trPr>
          <w:trHeight w:val="249"/>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B11FF7" w:rsidRPr="00B11FF7" w:rsidRDefault="00B11FF7" w:rsidP="00B11FF7">
            <w:pPr>
              <w:ind w:firstLineChars="100" w:firstLine="160"/>
              <w:rPr>
                <w:sz w:val="16"/>
                <w:szCs w:val="16"/>
              </w:rPr>
            </w:pPr>
            <w:r w:rsidRPr="00B11FF7">
              <w:rPr>
                <w:sz w:val="16"/>
                <w:szCs w:val="16"/>
              </w:rPr>
              <w:t xml:space="preserve">Rewards for </w:t>
            </w:r>
            <w:proofErr w:type="spellStart"/>
            <w:r w:rsidRPr="00B11FF7">
              <w:rPr>
                <w:sz w:val="16"/>
                <w:szCs w:val="16"/>
              </w:rPr>
              <w:t>Prosocial</w:t>
            </w:r>
            <w:proofErr w:type="spellEnd"/>
            <w:r w:rsidRPr="00B11FF7">
              <w:rPr>
                <w:sz w:val="16"/>
                <w:szCs w:val="16"/>
              </w:rPr>
              <w:t xml:space="preserve"> Involvement</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54.5</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53.3</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61.5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54.7</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45.7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61.9</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68.3</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63.8</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59.5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51.7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75.4</w:t>
            </w:r>
          </w:p>
        </w:tc>
        <w:tc>
          <w:tcPr>
            <w:tcW w:w="580" w:type="dxa"/>
            <w:tcBorders>
              <w:top w:val="nil"/>
              <w:left w:val="nil"/>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71.0</w:t>
            </w:r>
          </w:p>
        </w:tc>
        <w:tc>
          <w:tcPr>
            <w:tcW w:w="580" w:type="dxa"/>
            <w:tcBorders>
              <w:top w:val="nil"/>
              <w:left w:val="nil"/>
              <w:bottom w:val="single" w:sz="4" w:space="0" w:color="auto"/>
              <w:right w:val="single" w:sz="4" w:space="0" w:color="auto"/>
            </w:tcBorders>
            <w:shd w:val="clear" w:color="000000" w:fill="76933C"/>
            <w:vAlign w:val="center"/>
            <w:hideMark/>
          </w:tcPr>
          <w:p w:rsidR="00B11FF7" w:rsidRPr="00B11FF7" w:rsidRDefault="00B11FF7" w:rsidP="00B11FF7">
            <w:pPr>
              <w:jc w:val="right"/>
              <w:rPr>
                <w:b/>
                <w:bCs/>
                <w:sz w:val="16"/>
                <w:szCs w:val="16"/>
              </w:rPr>
            </w:pPr>
            <w:r w:rsidRPr="00B11FF7">
              <w:rPr>
                <w:b/>
                <w:bCs/>
                <w:sz w:val="16"/>
                <w:szCs w:val="16"/>
              </w:rPr>
              <w:t>64.5</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62.5</w:t>
            </w:r>
          </w:p>
        </w:tc>
        <w:tc>
          <w:tcPr>
            <w:tcW w:w="580" w:type="dxa"/>
            <w:tcBorders>
              <w:top w:val="nil"/>
              <w:left w:val="nil"/>
              <w:bottom w:val="single" w:sz="4" w:space="0" w:color="auto"/>
              <w:right w:val="nil"/>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59.7</w:t>
            </w:r>
          </w:p>
        </w:tc>
        <w:tc>
          <w:tcPr>
            <w:tcW w:w="580" w:type="dxa"/>
            <w:tcBorders>
              <w:top w:val="nil"/>
              <w:left w:val="single" w:sz="8" w:space="0" w:color="auto"/>
              <w:bottom w:val="single" w:sz="4" w:space="0" w:color="auto"/>
              <w:right w:val="single" w:sz="4" w:space="0" w:color="auto"/>
            </w:tcBorders>
            <w:shd w:val="clear" w:color="000000" w:fill="92D050"/>
            <w:vAlign w:val="center"/>
            <w:hideMark/>
          </w:tcPr>
          <w:p w:rsidR="00B11FF7" w:rsidRPr="00B11FF7" w:rsidRDefault="00B11FF7" w:rsidP="00B11FF7">
            <w:pPr>
              <w:jc w:val="right"/>
              <w:rPr>
                <w:b/>
                <w:bCs/>
                <w:sz w:val="16"/>
                <w:szCs w:val="16"/>
              </w:rPr>
            </w:pPr>
            <w:r w:rsidRPr="00B11FF7">
              <w:rPr>
                <w:b/>
                <w:bCs/>
                <w:sz w:val="16"/>
                <w:szCs w:val="16"/>
              </w:rPr>
              <w:t>74.3</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63.1</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59.9</w:t>
            </w:r>
          </w:p>
        </w:tc>
        <w:tc>
          <w:tcPr>
            <w:tcW w:w="580" w:type="dxa"/>
            <w:tcBorders>
              <w:top w:val="nil"/>
              <w:left w:val="nil"/>
              <w:bottom w:val="single" w:sz="4" w:space="0" w:color="auto"/>
              <w:right w:val="single" w:sz="4" w:space="0" w:color="auto"/>
            </w:tcBorders>
            <w:shd w:val="clear" w:color="auto" w:fill="auto"/>
            <w:vAlign w:val="center"/>
            <w:hideMark/>
          </w:tcPr>
          <w:p w:rsidR="00B11FF7" w:rsidRPr="00B11FF7" w:rsidRDefault="00B11FF7" w:rsidP="00B11FF7">
            <w:pPr>
              <w:jc w:val="right"/>
              <w:rPr>
                <w:b/>
                <w:bCs/>
                <w:sz w:val="16"/>
                <w:szCs w:val="16"/>
              </w:rPr>
            </w:pPr>
            <w:r w:rsidRPr="00B11FF7">
              <w:rPr>
                <w:b/>
                <w:bCs/>
                <w:sz w:val="16"/>
                <w:szCs w:val="16"/>
              </w:rPr>
              <w:t>63.9</w:t>
            </w:r>
          </w:p>
        </w:tc>
        <w:tc>
          <w:tcPr>
            <w:tcW w:w="580" w:type="dxa"/>
            <w:tcBorders>
              <w:top w:val="nil"/>
              <w:left w:val="nil"/>
              <w:bottom w:val="single" w:sz="4" w:space="0" w:color="auto"/>
              <w:right w:val="single" w:sz="4" w:space="0" w:color="auto"/>
            </w:tcBorders>
            <w:shd w:val="clear" w:color="000000" w:fill="FFFF00"/>
            <w:vAlign w:val="center"/>
            <w:hideMark/>
          </w:tcPr>
          <w:p w:rsidR="00B11FF7" w:rsidRPr="00B11FF7" w:rsidRDefault="00B11FF7" w:rsidP="00B11FF7">
            <w:pPr>
              <w:jc w:val="right"/>
              <w:rPr>
                <w:b/>
                <w:bCs/>
                <w:sz w:val="16"/>
                <w:szCs w:val="16"/>
              </w:rPr>
            </w:pPr>
            <w:r w:rsidRPr="00B11FF7">
              <w:rPr>
                <w:b/>
                <w:bCs/>
                <w:sz w:val="16"/>
                <w:szCs w:val="16"/>
              </w:rPr>
              <w:t>63.4</w:t>
            </w:r>
          </w:p>
        </w:tc>
      </w:tr>
    </w:tbl>
    <w:p w:rsidR="00B11FF7" w:rsidRDefault="00B11FF7" w:rsidP="00B11FF7"/>
    <w:sectPr w:rsidR="00B11FF7" w:rsidSect="00B11FF7">
      <w:pgSz w:w="15840" w:h="12240" w:orient="landscape" w:code="1"/>
      <w:pgMar w:top="576" w:right="720" w:bottom="576"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70" w:rsidRDefault="003E7670" w:rsidP="00446EF4">
      <w:r>
        <w:separator/>
      </w:r>
    </w:p>
  </w:endnote>
  <w:endnote w:type="continuationSeparator" w:id="0">
    <w:p w:rsidR="003E7670" w:rsidRDefault="003E7670" w:rsidP="0044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FD" w:rsidRDefault="00BE25FD">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Pr>
        <w:noProof/>
        <w:sz w:val="18"/>
        <w:szCs w:val="18"/>
      </w:rPr>
      <w:t>Interpretation2012OrleansParishR&amp;Pfactors.docx</w:t>
    </w:r>
    <w:r w:rsidRPr="006856C3">
      <w:rPr>
        <w:sz w:val="18"/>
        <w:szCs w:val="18"/>
      </w:rPr>
      <w:fldChar w:fldCharType="end"/>
    </w:r>
    <w:r>
      <w:tab/>
    </w:r>
    <w:r>
      <w:fldChar w:fldCharType="begin"/>
    </w:r>
    <w:r>
      <w:instrText xml:space="preserve"> PAGE   \* MERGEFORMAT </w:instrText>
    </w:r>
    <w:r>
      <w:fldChar w:fldCharType="separate"/>
    </w:r>
    <w:r w:rsidR="00DC545A">
      <w:rPr>
        <w:noProof/>
      </w:rPr>
      <w:t>1</w:t>
    </w:r>
    <w:r>
      <w:fldChar w:fldCharType="end"/>
    </w:r>
    <w:r>
      <w:t xml:space="preserve"> of </w:t>
    </w:r>
    <w:fldSimple w:instr=" NUMPAGES   \* MERGEFORMAT ">
      <w:r w:rsidR="00DC545A">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70" w:rsidRDefault="003E7670" w:rsidP="00446EF4">
      <w:r>
        <w:separator/>
      </w:r>
    </w:p>
  </w:footnote>
  <w:footnote w:type="continuationSeparator" w:id="0">
    <w:p w:rsidR="003E7670" w:rsidRDefault="003E7670" w:rsidP="00446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FD" w:rsidRDefault="00BE25FD" w:rsidP="00BE25FD">
    <w:pPr>
      <w:pStyle w:val="Header"/>
      <w:tabs>
        <w:tab w:val="clear" w:pos="4680"/>
        <w:tab w:val="clear" w:pos="9360"/>
        <w:tab w:val="left" w:pos="7455"/>
      </w:tabs>
    </w:pPr>
    <w:r>
      <w:tab/>
      <w:t>3/20/2014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781E"/>
    <w:multiLevelType w:val="hybridMultilevel"/>
    <w:tmpl w:val="EC74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65B18"/>
    <w:multiLevelType w:val="hybridMultilevel"/>
    <w:tmpl w:val="FDF2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4B6F3B"/>
    <w:multiLevelType w:val="hybridMultilevel"/>
    <w:tmpl w:val="045C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A4988"/>
    <w:multiLevelType w:val="hybridMultilevel"/>
    <w:tmpl w:val="5DAE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41358"/>
    <w:rsid w:val="0005363D"/>
    <w:rsid w:val="000726C0"/>
    <w:rsid w:val="000C092D"/>
    <w:rsid w:val="0012222D"/>
    <w:rsid w:val="00202AD8"/>
    <w:rsid w:val="002318EB"/>
    <w:rsid w:val="002517AA"/>
    <w:rsid w:val="002B140C"/>
    <w:rsid w:val="002C5D2D"/>
    <w:rsid w:val="003348D2"/>
    <w:rsid w:val="003C7E82"/>
    <w:rsid w:val="003E6BB5"/>
    <w:rsid w:val="003E7670"/>
    <w:rsid w:val="00446EF4"/>
    <w:rsid w:val="004A474C"/>
    <w:rsid w:val="005917EF"/>
    <w:rsid w:val="00650C16"/>
    <w:rsid w:val="00673AA0"/>
    <w:rsid w:val="0068273D"/>
    <w:rsid w:val="00684CF0"/>
    <w:rsid w:val="00693BBB"/>
    <w:rsid w:val="00694BCF"/>
    <w:rsid w:val="006A65C8"/>
    <w:rsid w:val="006B22A9"/>
    <w:rsid w:val="00722A7F"/>
    <w:rsid w:val="007439F1"/>
    <w:rsid w:val="007619DF"/>
    <w:rsid w:val="008020DA"/>
    <w:rsid w:val="008302C3"/>
    <w:rsid w:val="008D578E"/>
    <w:rsid w:val="008F74AA"/>
    <w:rsid w:val="009D1DAB"/>
    <w:rsid w:val="00A02D06"/>
    <w:rsid w:val="00A6592B"/>
    <w:rsid w:val="00A76453"/>
    <w:rsid w:val="00AC3FD1"/>
    <w:rsid w:val="00AD6173"/>
    <w:rsid w:val="00B11FF7"/>
    <w:rsid w:val="00B548C5"/>
    <w:rsid w:val="00BE0919"/>
    <w:rsid w:val="00BE25FD"/>
    <w:rsid w:val="00C17E6A"/>
    <w:rsid w:val="00C4150C"/>
    <w:rsid w:val="00C42104"/>
    <w:rsid w:val="00C64A71"/>
    <w:rsid w:val="00CC58D0"/>
    <w:rsid w:val="00D146B2"/>
    <w:rsid w:val="00D66870"/>
    <w:rsid w:val="00DC545A"/>
    <w:rsid w:val="00E27A01"/>
    <w:rsid w:val="00E42E3A"/>
    <w:rsid w:val="00E727F4"/>
    <w:rsid w:val="00E77285"/>
    <w:rsid w:val="00E81BD9"/>
    <w:rsid w:val="00E82620"/>
    <w:rsid w:val="00E8405F"/>
    <w:rsid w:val="00EF4780"/>
    <w:rsid w:val="00F94B0C"/>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ListParagraph">
    <w:name w:val="List Paragraph"/>
    <w:basedOn w:val="Normal"/>
    <w:uiPriority w:val="34"/>
    <w:qFormat/>
    <w:rsid w:val="003E6BB5"/>
    <w:pPr>
      <w:ind w:left="720"/>
      <w:contextualSpacing/>
    </w:pPr>
  </w:style>
  <w:style w:type="paragraph" w:styleId="Header">
    <w:name w:val="header"/>
    <w:basedOn w:val="Normal"/>
    <w:link w:val="HeaderChar"/>
    <w:uiPriority w:val="99"/>
    <w:unhideWhenUsed/>
    <w:rsid w:val="00BE25FD"/>
    <w:pPr>
      <w:tabs>
        <w:tab w:val="center" w:pos="4680"/>
        <w:tab w:val="right" w:pos="9360"/>
      </w:tabs>
    </w:pPr>
  </w:style>
  <w:style w:type="character" w:customStyle="1" w:styleId="HeaderChar">
    <w:name w:val="Header Char"/>
    <w:basedOn w:val="DefaultParagraphFont"/>
    <w:link w:val="Header"/>
    <w:uiPriority w:val="99"/>
    <w:rsid w:val="00BE25FD"/>
    <w:rPr>
      <w:sz w:val="24"/>
    </w:rPr>
  </w:style>
  <w:style w:type="paragraph" w:styleId="Footer">
    <w:name w:val="footer"/>
    <w:basedOn w:val="Normal"/>
    <w:link w:val="FooterChar"/>
    <w:uiPriority w:val="99"/>
    <w:unhideWhenUsed/>
    <w:rsid w:val="00BE25FD"/>
    <w:pPr>
      <w:tabs>
        <w:tab w:val="center" w:pos="4680"/>
        <w:tab w:val="right" w:pos="9360"/>
      </w:tabs>
    </w:pPr>
  </w:style>
  <w:style w:type="character" w:customStyle="1" w:styleId="FooterChar">
    <w:name w:val="Footer Char"/>
    <w:basedOn w:val="DefaultParagraphFont"/>
    <w:link w:val="Footer"/>
    <w:uiPriority w:val="99"/>
    <w:rsid w:val="00BE25F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ListParagraph">
    <w:name w:val="List Paragraph"/>
    <w:basedOn w:val="Normal"/>
    <w:uiPriority w:val="34"/>
    <w:qFormat/>
    <w:rsid w:val="003E6BB5"/>
    <w:pPr>
      <w:ind w:left="720"/>
      <w:contextualSpacing/>
    </w:pPr>
  </w:style>
  <w:style w:type="paragraph" w:styleId="Header">
    <w:name w:val="header"/>
    <w:basedOn w:val="Normal"/>
    <w:link w:val="HeaderChar"/>
    <w:uiPriority w:val="99"/>
    <w:unhideWhenUsed/>
    <w:rsid w:val="00BE25FD"/>
    <w:pPr>
      <w:tabs>
        <w:tab w:val="center" w:pos="4680"/>
        <w:tab w:val="right" w:pos="9360"/>
      </w:tabs>
    </w:pPr>
  </w:style>
  <w:style w:type="character" w:customStyle="1" w:styleId="HeaderChar">
    <w:name w:val="Header Char"/>
    <w:basedOn w:val="DefaultParagraphFont"/>
    <w:link w:val="Header"/>
    <w:uiPriority w:val="99"/>
    <w:rsid w:val="00BE25FD"/>
    <w:rPr>
      <w:sz w:val="24"/>
    </w:rPr>
  </w:style>
  <w:style w:type="paragraph" w:styleId="Footer">
    <w:name w:val="footer"/>
    <w:basedOn w:val="Normal"/>
    <w:link w:val="FooterChar"/>
    <w:uiPriority w:val="99"/>
    <w:unhideWhenUsed/>
    <w:rsid w:val="00BE25FD"/>
    <w:pPr>
      <w:tabs>
        <w:tab w:val="center" w:pos="4680"/>
        <w:tab w:val="right" w:pos="9360"/>
      </w:tabs>
    </w:pPr>
  </w:style>
  <w:style w:type="character" w:customStyle="1" w:styleId="FooterChar">
    <w:name w:val="Footer Char"/>
    <w:basedOn w:val="DefaultParagraphFont"/>
    <w:link w:val="Footer"/>
    <w:uiPriority w:val="99"/>
    <w:rsid w:val="00BE25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7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8</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4</cp:revision>
  <cp:lastPrinted>2014-05-12T18:29:00Z</cp:lastPrinted>
  <dcterms:created xsi:type="dcterms:W3CDTF">2014-05-12T18:27:00Z</dcterms:created>
  <dcterms:modified xsi:type="dcterms:W3CDTF">2014-05-12T20:04:00Z</dcterms:modified>
</cp:coreProperties>
</file>